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МУНИЦИПАЛЬНОГО ОКТУГА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0201E7" w:rsidRDefault="000201E7" w:rsidP="00A22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20.06.2017 № 01-03-61/17</w:t>
            </w:r>
          </w:p>
          <w:p w:rsidR="00C82D48" w:rsidRPr="00C82D48" w:rsidRDefault="00C82D48" w:rsidP="00A229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муниципального округа </w:t>
            </w:r>
            <w:proofErr w:type="spellStart"/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</w:t>
            </w:r>
          </w:p>
        </w:tc>
      </w:tr>
    </w:tbl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«О наделении органов местного самоуправления муниципальных округов в городе Москве отдельными полномочиями города Москвы» и обращением префектуры Южно</w:t>
      </w:r>
      <w:r w:rsidR="00DD2CDA">
        <w:rPr>
          <w:rFonts w:ascii="Times New Roman" w:hAnsi="Times New Roman" w:cs="Times New Roman"/>
          <w:sz w:val="28"/>
          <w:szCs w:val="28"/>
        </w:rPr>
        <w:t>го административного округа от 30 мая 2017 года №01-53-3369/7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Южное РЕШИЛ:</w:t>
      </w:r>
      <w:proofErr w:type="gramEnd"/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</w:t>
      </w:r>
      <w:r w:rsidR="00DD2CDA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DD2CDA">
        <w:rPr>
          <w:rFonts w:ascii="Times New Roman" w:hAnsi="Times New Roman" w:cs="Times New Roman"/>
          <w:sz w:val="28"/>
          <w:szCs w:val="28"/>
        </w:rPr>
        <w:t xml:space="preserve"> в части корректировки площади нестационарного торгового объекта:</w:t>
      </w:r>
    </w:p>
    <w:tbl>
      <w:tblPr>
        <w:tblStyle w:val="a4"/>
        <w:tblW w:w="0" w:type="auto"/>
        <w:tblInd w:w="720" w:type="dxa"/>
        <w:tblLook w:val="04A0"/>
      </w:tblPr>
      <w:tblGrid>
        <w:gridCol w:w="1488"/>
        <w:gridCol w:w="1731"/>
        <w:gridCol w:w="2636"/>
        <w:gridCol w:w="1471"/>
        <w:gridCol w:w="1525"/>
      </w:tblGrid>
      <w:tr w:rsidR="00DD2CDA" w:rsidTr="00DD2CDA">
        <w:tc>
          <w:tcPr>
            <w:tcW w:w="1914" w:type="dxa"/>
          </w:tcPr>
          <w:p w:rsidR="00DD2CDA" w:rsidRDefault="00DD2CDA" w:rsidP="00DD2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14" w:type="dxa"/>
          </w:tcPr>
          <w:p w:rsidR="00DD2CDA" w:rsidRDefault="00DD2CDA" w:rsidP="00DD2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</w:t>
            </w:r>
          </w:p>
        </w:tc>
        <w:tc>
          <w:tcPr>
            <w:tcW w:w="1914" w:type="dxa"/>
          </w:tcPr>
          <w:p w:rsidR="00DD2CDA" w:rsidRDefault="00DD2CDA" w:rsidP="00DD2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914" w:type="dxa"/>
          </w:tcPr>
          <w:p w:rsidR="00DD2CDA" w:rsidRDefault="00DD2CDA" w:rsidP="00DD2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 схеме</w:t>
            </w:r>
          </w:p>
        </w:tc>
        <w:tc>
          <w:tcPr>
            <w:tcW w:w="1915" w:type="dxa"/>
          </w:tcPr>
          <w:p w:rsidR="00DD2CDA" w:rsidRDefault="00DD2CDA" w:rsidP="00DD2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Изменить на площадь</w:t>
            </w:r>
          </w:p>
        </w:tc>
      </w:tr>
      <w:tr w:rsidR="00DD2CDA" w:rsidTr="00DD2CDA">
        <w:tc>
          <w:tcPr>
            <w:tcW w:w="1914" w:type="dxa"/>
          </w:tcPr>
          <w:p w:rsidR="00DD2CDA" w:rsidRDefault="00DD2CDA" w:rsidP="00DD2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1914" w:type="dxa"/>
          </w:tcPr>
          <w:p w:rsidR="00DD2CDA" w:rsidRDefault="00DD2CDA" w:rsidP="00DD2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Варшавское шоссе, вл. 154Г</w:t>
            </w:r>
          </w:p>
        </w:tc>
        <w:tc>
          <w:tcPr>
            <w:tcW w:w="1914" w:type="dxa"/>
          </w:tcPr>
          <w:p w:rsidR="00DD2CDA" w:rsidRDefault="00DD2CDA" w:rsidP="00DD2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914" w:type="dxa"/>
          </w:tcPr>
          <w:p w:rsidR="00DD2CDA" w:rsidRDefault="00DD2CDA" w:rsidP="00DD2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5" w:type="dxa"/>
          </w:tcPr>
          <w:p w:rsidR="00DD2CDA" w:rsidRDefault="00DD2CDA" w:rsidP="00DD2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DD2CDA" w:rsidRDefault="00DD2CDA" w:rsidP="00DD2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DD2CDA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D48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C82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2D48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D2C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А.А. Новиков</w:t>
      </w:r>
    </w:p>
    <w:sectPr w:rsidR="00695657" w:rsidSect="00DD2C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57"/>
    <w:rsid w:val="000201E7"/>
    <w:rsid w:val="001B17CE"/>
    <w:rsid w:val="005A5625"/>
    <w:rsid w:val="00695657"/>
    <w:rsid w:val="00BD48BC"/>
    <w:rsid w:val="00C82D48"/>
    <w:rsid w:val="00DD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2017-06-23T05:44:00Z</dcterms:created>
  <dcterms:modified xsi:type="dcterms:W3CDTF">2017-06-23T05:44:00Z</dcterms:modified>
</cp:coreProperties>
</file>